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BF8" w:rsidRDefault="00F52BF8" w:rsidP="00F52BF8">
      <w:pPr>
        <w:pStyle w:val="Heading2"/>
        <w:jc w:val="both"/>
        <w:rPr>
          <w:rFonts w:ascii="Arial" w:hAnsi="Arial" w:cs="Arial"/>
          <w:sz w:val="20"/>
          <w:szCs w:val="20"/>
          <w:lang w:val="en"/>
        </w:rPr>
      </w:pPr>
      <w:r w:rsidRPr="00F52BF8">
        <w:rPr>
          <w:rFonts w:ascii="Arial" w:hAnsi="Arial" w:cs="Arial"/>
          <w:sz w:val="20"/>
          <w:szCs w:val="20"/>
          <w:lang w:val="en"/>
        </w:rPr>
        <w:t>Project summary</w:t>
      </w:r>
    </w:p>
    <w:p w:rsidR="00BE3C8E" w:rsidRPr="00BE3C8E" w:rsidRDefault="00BE3C8E" w:rsidP="00BE3C8E">
      <w:pPr>
        <w:rPr>
          <w:lang w:val="en"/>
        </w:rPr>
      </w:pPr>
    </w:p>
    <w:p w:rsidR="00F52BF8" w:rsidRPr="00F52BF8" w:rsidRDefault="00F52BF8" w:rsidP="00F52BF8">
      <w:pPr>
        <w:jc w:val="both"/>
        <w:rPr>
          <w:rFonts w:ascii="Arial" w:hAnsi="Arial" w:cs="Arial"/>
          <w:sz w:val="20"/>
          <w:szCs w:val="20"/>
          <w:lang w:val="en"/>
        </w:rPr>
      </w:pPr>
      <w:r w:rsidRPr="00F52BF8">
        <w:rPr>
          <w:rFonts w:ascii="Arial" w:hAnsi="Arial" w:cs="Arial"/>
          <w:sz w:val="20"/>
          <w:szCs w:val="20"/>
          <w:lang w:val="en"/>
        </w:rPr>
        <w:t xml:space="preserve">The research project </w:t>
      </w:r>
      <w:r w:rsidRPr="00F52BF8">
        <w:rPr>
          <w:rFonts w:ascii="Arial" w:hAnsi="Arial" w:cs="Arial"/>
          <w:noProof/>
          <w:sz w:val="20"/>
          <w:szCs w:val="20"/>
          <w:lang w:val="en"/>
        </w:rPr>
        <w:t>is focused</w:t>
      </w:r>
      <w:r w:rsidRPr="00F52BF8">
        <w:rPr>
          <w:rFonts w:ascii="Arial" w:hAnsi="Arial" w:cs="Arial"/>
          <w:sz w:val="20"/>
          <w:szCs w:val="20"/>
          <w:lang w:val="en"/>
        </w:rPr>
        <w:t xml:space="preserve"> on identification of the cause of the pharmacokinetic variability of antiepileptic and immunosuppressants, quantification of the effects of pharmacokinetic variability factors using mathematical models, the application of the developed population pharmacokinetic-pharmacodynamic models </w:t>
      </w:r>
      <w:proofErr w:type="gramStart"/>
      <w:r w:rsidRPr="00F52BF8">
        <w:rPr>
          <w:rFonts w:ascii="Arial" w:hAnsi="Arial" w:cs="Arial"/>
          <w:sz w:val="20"/>
          <w:szCs w:val="20"/>
          <w:lang w:val="en"/>
        </w:rPr>
        <w:t>in order to</w:t>
      </w:r>
      <w:proofErr w:type="gramEnd"/>
      <w:r w:rsidRPr="00F52BF8">
        <w:rPr>
          <w:rFonts w:ascii="Arial" w:hAnsi="Arial" w:cs="Arial"/>
          <w:sz w:val="20"/>
          <w:szCs w:val="20"/>
          <w:lang w:val="en"/>
        </w:rPr>
        <w:t xml:space="preserve"> optimize the individual dosing regimen. Also, the specific investigation </w:t>
      </w:r>
      <w:r w:rsidRPr="00F52BF8">
        <w:rPr>
          <w:rFonts w:ascii="Arial" w:hAnsi="Arial" w:cs="Arial"/>
          <w:noProof/>
          <w:sz w:val="20"/>
          <w:szCs w:val="20"/>
          <w:lang w:val="en"/>
        </w:rPr>
        <w:t>is oriented</w:t>
      </w:r>
      <w:r w:rsidRPr="00F52BF8">
        <w:rPr>
          <w:rFonts w:ascii="Arial" w:hAnsi="Arial" w:cs="Arial"/>
          <w:sz w:val="20"/>
          <w:szCs w:val="20"/>
          <w:lang w:val="en"/>
        </w:rPr>
        <w:t xml:space="preserve"> to the examination and classification of cardiovascular drugs interactions and the identification of therapy problems in older patients. The results are focused on the optimization of therapy in the individual patient and the evaluation of the principles of rational pharmacotherapy.</w:t>
      </w:r>
    </w:p>
    <w:p w:rsidR="00F52BF8" w:rsidRPr="00F52BF8" w:rsidRDefault="00F52BF8" w:rsidP="00F52BF8">
      <w:pPr>
        <w:jc w:val="both"/>
        <w:rPr>
          <w:rFonts w:ascii="Arial" w:hAnsi="Arial" w:cs="Arial"/>
          <w:sz w:val="20"/>
          <w:szCs w:val="20"/>
          <w:lang w:val="en"/>
        </w:rPr>
      </w:pPr>
      <w:r w:rsidRPr="00F52BF8">
        <w:rPr>
          <w:rFonts w:ascii="Arial" w:hAnsi="Arial" w:cs="Arial"/>
          <w:sz w:val="20"/>
          <w:szCs w:val="20"/>
          <w:lang w:val="en"/>
        </w:rPr>
        <w:br/>
      </w:r>
      <w:r w:rsidRPr="00F52BF8">
        <w:rPr>
          <w:rStyle w:val="Heading2Char"/>
          <w:rFonts w:ascii="Arial" w:hAnsi="Arial" w:cs="Arial"/>
          <w:sz w:val="20"/>
          <w:szCs w:val="20"/>
        </w:rPr>
        <w:t>Keywords</w:t>
      </w:r>
      <w:r w:rsidRPr="00F52BF8">
        <w:rPr>
          <w:rFonts w:ascii="Arial" w:hAnsi="Arial" w:cs="Arial"/>
          <w:sz w:val="20"/>
          <w:szCs w:val="20"/>
          <w:lang w:val="en"/>
        </w:rPr>
        <w:t>: population pharmacokinetic-pharmacodynamic modeling, pharmacokinetic variability, drug interactions</w:t>
      </w:r>
    </w:p>
    <w:p w:rsidR="00F52BF8" w:rsidRDefault="00F52BF8" w:rsidP="00F52BF8">
      <w:pPr>
        <w:pStyle w:val="Heading2"/>
        <w:jc w:val="both"/>
        <w:rPr>
          <w:rFonts w:ascii="Arial" w:hAnsi="Arial" w:cs="Arial"/>
          <w:sz w:val="20"/>
          <w:szCs w:val="20"/>
          <w:lang w:val="sr-Latn-RS"/>
        </w:rPr>
      </w:pPr>
      <w:proofErr w:type="spellStart"/>
      <w:r w:rsidRPr="00F52BF8">
        <w:rPr>
          <w:rFonts w:ascii="Arial" w:hAnsi="Arial" w:cs="Arial"/>
          <w:sz w:val="20"/>
          <w:szCs w:val="20"/>
          <w:lang w:val="en"/>
        </w:rPr>
        <w:t>Sažetak</w:t>
      </w:r>
      <w:proofErr w:type="spellEnd"/>
      <w:r w:rsidRPr="00F52BF8">
        <w:rPr>
          <w:rFonts w:ascii="Arial" w:hAnsi="Arial" w:cs="Arial"/>
          <w:sz w:val="20"/>
          <w:szCs w:val="20"/>
          <w:lang w:val="en"/>
        </w:rPr>
        <w:t xml:space="preserve"> </w:t>
      </w:r>
      <w:proofErr w:type="spellStart"/>
      <w:r w:rsidRPr="00F52BF8">
        <w:rPr>
          <w:rFonts w:ascii="Arial" w:hAnsi="Arial" w:cs="Arial"/>
          <w:sz w:val="20"/>
          <w:szCs w:val="20"/>
          <w:lang w:val="en"/>
        </w:rPr>
        <w:t>projekta</w:t>
      </w:r>
      <w:proofErr w:type="spellEnd"/>
      <w:r w:rsidRPr="00F52BF8">
        <w:rPr>
          <w:rFonts w:ascii="Arial" w:hAnsi="Arial" w:cs="Arial"/>
          <w:sz w:val="20"/>
          <w:szCs w:val="20"/>
          <w:lang w:val="en"/>
        </w:rPr>
        <w:t xml:space="preserve"> OI </w:t>
      </w:r>
      <w:r w:rsidRPr="00F52BF8">
        <w:rPr>
          <w:rFonts w:ascii="Arial" w:hAnsi="Arial" w:cs="Arial"/>
          <w:sz w:val="20"/>
          <w:szCs w:val="20"/>
          <w:lang w:val="sr-Latn-RS"/>
        </w:rPr>
        <w:t>175023</w:t>
      </w:r>
    </w:p>
    <w:p w:rsidR="00BE3C8E" w:rsidRPr="00BE3C8E" w:rsidRDefault="00BE3C8E" w:rsidP="00BE3C8E">
      <w:pPr>
        <w:rPr>
          <w:lang w:val="sr-Latn-RS"/>
        </w:rPr>
      </w:pPr>
    </w:p>
    <w:p w:rsidR="00F52BF8" w:rsidRPr="00F52BF8" w:rsidRDefault="00F52BF8" w:rsidP="00F52BF8">
      <w:pPr>
        <w:jc w:val="both"/>
        <w:rPr>
          <w:rFonts w:ascii="Arial" w:hAnsi="Arial" w:cs="Arial"/>
          <w:sz w:val="20"/>
          <w:szCs w:val="20"/>
          <w:lang w:val="sr-Latn-RS"/>
        </w:rPr>
      </w:pPr>
      <w:r w:rsidRPr="00F52BF8">
        <w:rPr>
          <w:rFonts w:ascii="Arial" w:hAnsi="Arial" w:cs="Arial"/>
          <w:sz w:val="20"/>
          <w:szCs w:val="20"/>
          <w:lang w:val="sr-Latn-RS"/>
        </w:rPr>
        <w:t>U okviru projekta istraživanja su usmerena na identifikaciju uzroka farmakokinetičke varijabilnosti aniepileptika i imunosupresiva, kvantifikaciji uticaja fakora farmakokinetičke varijabilnosti primenom matematičkog modela, primeni razvijenih populacionih farmakokinetičko-farmakodinamičkih modela u cilju optimizacije individualnog režima doziranja. Takođe, posebna istraživanja su posvećena ispitivanju i klasifikaciji interakcija kardiovaskularnih lekova i identifikaciji problema koji prate primenu lekova kod starijih pacijenata. Rezultati ispitivanja su usmereni ka optimizaciji terapije kod individualnog pacijenta i proceni principa racionalne farmakoterapije.</w:t>
      </w:r>
    </w:p>
    <w:p w:rsidR="00F52BF8" w:rsidRPr="00F52BF8" w:rsidRDefault="00F52BF8" w:rsidP="00F52BF8">
      <w:pPr>
        <w:jc w:val="both"/>
        <w:rPr>
          <w:rFonts w:ascii="Arial" w:hAnsi="Arial" w:cs="Arial"/>
          <w:sz w:val="20"/>
          <w:szCs w:val="20"/>
          <w:lang w:val="sr-Latn-RS"/>
        </w:rPr>
      </w:pPr>
      <w:proofErr w:type="spellStart"/>
      <w:r w:rsidRPr="00F52BF8">
        <w:rPr>
          <w:rStyle w:val="Heading2Char"/>
          <w:rFonts w:ascii="Arial" w:hAnsi="Arial" w:cs="Arial"/>
          <w:sz w:val="20"/>
          <w:szCs w:val="20"/>
        </w:rPr>
        <w:t>Ključne</w:t>
      </w:r>
      <w:proofErr w:type="spellEnd"/>
      <w:r w:rsidRPr="00F52BF8">
        <w:rPr>
          <w:rStyle w:val="Heading2Char"/>
          <w:rFonts w:ascii="Arial" w:hAnsi="Arial" w:cs="Arial"/>
          <w:sz w:val="20"/>
          <w:szCs w:val="20"/>
        </w:rPr>
        <w:t xml:space="preserve"> </w:t>
      </w:r>
      <w:proofErr w:type="spellStart"/>
      <w:r w:rsidRPr="00F52BF8">
        <w:rPr>
          <w:rStyle w:val="Heading2Char"/>
          <w:rFonts w:ascii="Arial" w:hAnsi="Arial" w:cs="Arial"/>
          <w:sz w:val="20"/>
          <w:szCs w:val="20"/>
        </w:rPr>
        <w:t>reči</w:t>
      </w:r>
      <w:proofErr w:type="spellEnd"/>
      <w:r w:rsidRPr="00F52BF8">
        <w:rPr>
          <w:rStyle w:val="Heading2Char"/>
          <w:rFonts w:ascii="Arial" w:hAnsi="Arial" w:cs="Arial"/>
          <w:sz w:val="20"/>
          <w:szCs w:val="20"/>
        </w:rPr>
        <w:t>:</w:t>
      </w:r>
      <w:r w:rsidRPr="00F52BF8">
        <w:rPr>
          <w:rFonts w:ascii="Arial" w:hAnsi="Arial" w:cs="Arial"/>
          <w:sz w:val="20"/>
          <w:szCs w:val="20"/>
          <w:lang w:val="en"/>
        </w:rPr>
        <w:t xml:space="preserve"> </w:t>
      </w:r>
      <w:r w:rsidRPr="00F52BF8">
        <w:rPr>
          <w:rFonts w:ascii="Arial" w:hAnsi="Arial" w:cs="Arial"/>
          <w:sz w:val="20"/>
          <w:szCs w:val="20"/>
          <w:lang w:val="sr-Latn-RS"/>
        </w:rPr>
        <w:t>populacioni farmakokinetičko-farmakodinamički modeli, farmakokinetička varijabilnost, interakcije lekova</w:t>
      </w:r>
    </w:p>
    <w:p w:rsidR="00F52BF8" w:rsidRDefault="00F52BF8" w:rsidP="00F52BF8">
      <w:pPr>
        <w:pStyle w:val="Heading2"/>
        <w:rPr>
          <w:rFonts w:ascii="Arial" w:hAnsi="Arial" w:cs="Arial"/>
          <w:sz w:val="20"/>
          <w:szCs w:val="20"/>
          <w:lang w:val="en"/>
        </w:rPr>
      </w:pPr>
      <w:r w:rsidRPr="00F52BF8">
        <w:rPr>
          <w:rFonts w:ascii="Arial" w:hAnsi="Arial" w:cs="Arial"/>
          <w:sz w:val="20"/>
          <w:szCs w:val="20"/>
          <w:lang w:val="en"/>
        </w:rPr>
        <w:t>Selected results</w:t>
      </w:r>
      <w:r w:rsidR="00BE3C8E">
        <w:rPr>
          <w:rFonts w:ascii="Arial" w:hAnsi="Arial" w:cs="Arial"/>
          <w:sz w:val="20"/>
          <w:szCs w:val="20"/>
          <w:lang w:val="en"/>
        </w:rPr>
        <w:t>/</w:t>
      </w:r>
      <w:proofErr w:type="spellStart"/>
      <w:r w:rsidRPr="00F52BF8">
        <w:rPr>
          <w:rFonts w:ascii="Arial" w:hAnsi="Arial" w:cs="Arial"/>
          <w:sz w:val="20"/>
          <w:szCs w:val="20"/>
          <w:lang w:val="en"/>
        </w:rPr>
        <w:t>Odabrani</w:t>
      </w:r>
      <w:proofErr w:type="spellEnd"/>
      <w:r w:rsidRPr="00F52BF8">
        <w:rPr>
          <w:rFonts w:ascii="Arial" w:hAnsi="Arial" w:cs="Arial"/>
          <w:sz w:val="20"/>
          <w:szCs w:val="20"/>
          <w:lang w:val="en"/>
        </w:rPr>
        <w:t xml:space="preserve"> </w:t>
      </w:r>
      <w:proofErr w:type="spellStart"/>
      <w:r w:rsidRPr="00F52BF8">
        <w:rPr>
          <w:rFonts w:ascii="Arial" w:hAnsi="Arial" w:cs="Arial"/>
          <w:sz w:val="20"/>
          <w:szCs w:val="20"/>
          <w:lang w:val="en"/>
        </w:rPr>
        <w:t>rezultati</w:t>
      </w:r>
      <w:proofErr w:type="spellEnd"/>
    </w:p>
    <w:p w:rsidR="00BE3C8E" w:rsidRPr="00BE3C8E" w:rsidRDefault="00BE3C8E" w:rsidP="00BE3C8E">
      <w:pPr>
        <w:rPr>
          <w:lang w:val="en"/>
        </w:rPr>
      </w:pPr>
      <w:bookmarkStart w:id="0" w:name="_GoBack"/>
      <w:bookmarkEnd w:id="0"/>
    </w:p>
    <w:p w:rsidR="00F52BF8" w:rsidRPr="00F52BF8" w:rsidRDefault="00F52BF8" w:rsidP="00F52BF8">
      <w:pPr>
        <w:jc w:val="both"/>
        <w:rPr>
          <w:rFonts w:ascii="Arial" w:hAnsi="Arial" w:cs="Arial"/>
          <w:sz w:val="20"/>
          <w:szCs w:val="20"/>
          <w:lang w:val="sr-Latn-RS"/>
        </w:rPr>
      </w:pPr>
      <w:r w:rsidRPr="00F52BF8">
        <w:rPr>
          <w:rFonts w:ascii="Arial" w:hAnsi="Arial" w:cs="Arial"/>
          <w:sz w:val="20"/>
          <w:szCs w:val="20"/>
          <w:lang w:val="sr-Latn-RS"/>
        </w:rPr>
        <w:t>Golubović B, Vučićević K, Radivojević D, Kovačević SV, Prostran M, Miljković B. Exploring sirolimus pharmacokinetic variability using data available from the routine clinical care of renal transplant patients - population pharmacokinetic approach. Journal of Medical Biochemistry doi.org/10.2478/jomb-2018-0030</w:t>
      </w:r>
    </w:p>
    <w:p w:rsidR="00F52BF8" w:rsidRPr="00F52BF8" w:rsidRDefault="00F52BF8" w:rsidP="00F52BF8">
      <w:pPr>
        <w:jc w:val="both"/>
        <w:rPr>
          <w:rFonts w:ascii="Arial" w:hAnsi="Arial" w:cs="Arial"/>
          <w:sz w:val="20"/>
          <w:szCs w:val="20"/>
          <w:lang w:val="sr-Latn-RS"/>
        </w:rPr>
      </w:pPr>
      <w:r w:rsidRPr="00F52BF8">
        <w:rPr>
          <w:rFonts w:ascii="Arial" w:hAnsi="Arial" w:cs="Arial"/>
          <w:sz w:val="20"/>
          <w:szCs w:val="20"/>
          <w:lang w:val="sr-Latn-RS"/>
        </w:rPr>
        <w:t>2. Ilić V, Bogićević D, Miljković B, Vezmar-Kovačević S. Association between Adverse Effects and Parental Beliefs about Antiepileptic Medicines. Medicina (Kaunas). 2018 Aug 28;54(4). pii: E60. doi: 10.3390/medicina54040060.</w:t>
      </w:r>
    </w:p>
    <w:p w:rsidR="00F52BF8" w:rsidRPr="00F52BF8" w:rsidRDefault="00F52BF8" w:rsidP="00F52BF8">
      <w:pPr>
        <w:jc w:val="both"/>
        <w:rPr>
          <w:rFonts w:ascii="Arial" w:hAnsi="Arial" w:cs="Arial"/>
          <w:sz w:val="20"/>
          <w:szCs w:val="20"/>
          <w:lang w:val="sr-Latn-RS"/>
        </w:rPr>
      </w:pPr>
      <w:r w:rsidRPr="00F52BF8">
        <w:rPr>
          <w:rFonts w:ascii="Arial" w:hAnsi="Arial" w:cs="Arial"/>
          <w:sz w:val="20"/>
          <w:szCs w:val="20"/>
          <w:lang w:val="sr-Latn-RS"/>
        </w:rPr>
        <w:t>3. Kovačević M, Ćulafić M, Jovanović M, Vučićević K, Kovačević SV, Miljković B. Impact of community pharmacists' interventions on asthma self-management care. Res Social Adm Pharm. 2017 Jul. doi: 10.1016/j.sapharm.2017.07.007. [Epub ahead of print]</w:t>
      </w:r>
    </w:p>
    <w:p w:rsidR="00F52BF8" w:rsidRPr="00F52BF8" w:rsidRDefault="00F52BF8" w:rsidP="00F52BF8">
      <w:pPr>
        <w:jc w:val="both"/>
        <w:rPr>
          <w:rFonts w:ascii="Arial" w:hAnsi="Arial" w:cs="Arial"/>
          <w:sz w:val="20"/>
          <w:szCs w:val="20"/>
          <w:lang w:val="sr-Latn-RS"/>
        </w:rPr>
      </w:pPr>
      <w:r w:rsidRPr="00F52BF8">
        <w:rPr>
          <w:rFonts w:ascii="Arial" w:hAnsi="Arial" w:cs="Arial"/>
          <w:sz w:val="20"/>
          <w:szCs w:val="20"/>
          <w:lang w:val="sr-Latn-RS"/>
        </w:rPr>
        <w:t xml:space="preserve">4. Ljubojević G, Miljković B, Bućma T, Ćulafić M, Prostran M, Vezmar Kovačević S. Problems, interventions, and their outcomes during the routine work of hospital pharmacists in Bosnia and Herzegovina. Int J Clin Pharm. 2017 Aug;39(4):743-9. </w:t>
      </w:r>
    </w:p>
    <w:p w:rsidR="00F52BF8" w:rsidRPr="00F52BF8" w:rsidRDefault="00F52BF8" w:rsidP="00F52BF8">
      <w:pPr>
        <w:jc w:val="both"/>
        <w:rPr>
          <w:rFonts w:ascii="Arial" w:hAnsi="Arial" w:cs="Arial"/>
          <w:sz w:val="20"/>
          <w:szCs w:val="20"/>
          <w:lang w:val="sr-Latn-RS"/>
        </w:rPr>
      </w:pPr>
      <w:r w:rsidRPr="00F52BF8">
        <w:rPr>
          <w:rFonts w:ascii="Arial" w:hAnsi="Arial" w:cs="Arial"/>
          <w:sz w:val="20"/>
          <w:szCs w:val="20"/>
          <w:lang w:val="sr-Latn-RS"/>
        </w:rPr>
        <w:t xml:space="preserve">5. Kovačević SV, Miljković B, Ćulafić M, Kovačević M, Golubović B, Jovanović M, Vučićević K, de Gier JJ. </w:t>
      </w:r>
      <w:r w:rsidRPr="00F52BF8">
        <w:rPr>
          <w:rFonts w:ascii="Arial" w:hAnsi="Arial" w:cs="Arial"/>
          <w:noProof/>
          <w:sz w:val="20"/>
          <w:szCs w:val="20"/>
          <w:lang w:val="sr-Latn-RS"/>
        </w:rPr>
        <w:t>Evaluation</w:t>
      </w:r>
      <w:r w:rsidRPr="00F52BF8">
        <w:rPr>
          <w:rFonts w:ascii="Arial" w:hAnsi="Arial" w:cs="Arial"/>
          <w:sz w:val="20"/>
          <w:szCs w:val="20"/>
          <w:lang w:val="sr-Latn-RS"/>
        </w:rPr>
        <w:t xml:space="preserve"> of drug-related problems in older polypharmacy primary care patients. J Eval Clin Pract. 2017 Aug;23(4):860-5.</w:t>
      </w:r>
    </w:p>
    <w:p w:rsidR="00F52BF8" w:rsidRPr="00F52BF8" w:rsidRDefault="00F52BF8" w:rsidP="00F52BF8">
      <w:pPr>
        <w:jc w:val="both"/>
        <w:rPr>
          <w:rFonts w:ascii="Arial" w:hAnsi="Arial" w:cs="Arial"/>
          <w:sz w:val="20"/>
          <w:szCs w:val="20"/>
          <w:lang w:val="sr-Latn-RS"/>
        </w:rPr>
      </w:pPr>
      <w:r w:rsidRPr="00F52BF8">
        <w:rPr>
          <w:rFonts w:ascii="Arial" w:hAnsi="Arial" w:cs="Arial"/>
          <w:sz w:val="20"/>
          <w:szCs w:val="20"/>
          <w:lang w:val="sr-Latn-RS"/>
        </w:rPr>
        <w:lastRenderedPageBreak/>
        <w:t>6. Kovačević SV, Miljković B, Vučićević K, Ćulafić M, Kovačević M, Golubović B, Jovanović M, de Gier JJ. Elderly polypharmacy patients' needs and concerns regarding medication assessed using the structured patient-pharmacist consultation model. Patient Educ Couns. 2017 Sep;100(9):1714-9.</w:t>
      </w:r>
    </w:p>
    <w:p w:rsidR="00F52BF8" w:rsidRPr="00F52BF8" w:rsidRDefault="00F52BF8" w:rsidP="00F52BF8">
      <w:pPr>
        <w:jc w:val="both"/>
        <w:rPr>
          <w:rFonts w:ascii="Arial" w:hAnsi="Arial" w:cs="Arial"/>
          <w:sz w:val="20"/>
          <w:szCs w:val="20"/>
          <w:lang w:val="sr-Latn-RS"/>
        </w:rPr>
      </w:pPr>
      <w:r w:rsidRPr="00F52BF8">
        <w:rPr>
          <w:rFonts w:ascii="Arial" w:hAnsi="Arial" w:cs="Arial"/>
          <w:sz w:val="20"/>
          <w:szCs w:val="20"/>
          <w:lang w:val="sr-Latn-RS"/>
        </w:rPr>
        <w:t xml:space="preserve">7. Kovačević M, Vezmar Kovačević S, Miljković B, Radovanović S, Stevanović P. The prevalence and preventability of potentially relevant drug-drug interactions in patients admitted for cardiovascular diseases: A cross-sectional study. Int J Clin Pract. 2017 Oct;71(10). </w:t>
      </w:r>
      <w:r w:rsidRPr="00F52BF8">
        <w:rPr>
          <w:rFonts w:ascii="Arial" w:hAnsi="Arial" w:cs="Arial"/>
          <w:noProof/>
          <w:sz w:val="20"/>
          <w:szCs w:val="20"/>
          <w:lang w:val="sr-Latn-RS"/>
        </w:rPr>
        <w:t>doi</w:t>
      </w:r>
      <w:r w:rsidRPr="00F52BF8">
        <w:rPr>
          <w:rFonts w:ascii="Arial" w:hAnsi="Arial" w:cs="Arial"/>
          <w:sz w:val="20"/>
          <w:szCs w:val="20"/>
          <w:lang w:val="sr-Latn-RS"/>
        </w:rPr>
        <w:t xml:space="preserve">: 10.1111/ijcp.13005. </w:t>
      </w:r>
    </w:p>
    <w:p w:rsidR="00F52BF8" w:rsidRPr="00F52BF8" w:rsidRDefault="00F52BF8" w:rsidP="00F52BF8">
      <w:pPr>
        <w:jc w:val="both"/>
        <w:rPr>
          <w:rFonts w:ascii="Arial" w:hAnsi="Arial" w:cs="Arial"/>
          <w:sz w:val="20"/>
          <w:szCs w:val="20"/>
          <w:lang w:val="sr-Latn-RS"/>
        </w:rPr>
      </w:pPr>
      <w:r w:rsidRPr="00F52BF8">
        <w:rPr>
          <w:rFonts w:ascii="Arial" w:hAnsi="Arial" w:cs="Arial"/>
          <w:sz w:val="20"/>
          <w:szCs w:val="20"/>
          <w:lang w:val="sr-Latn-RS"/>
        </w:rPr>
        <w:t>8. Vučićević KM, Miljković BR, Golubović BC, Jovanović MN, Vezmar Kovačević SD, Ćulafić MD, Kovačević MM, de Gier JJ. Expectations, concerns, and needs of patients who start drugs for chronic conditions. A prospective observational study among community pharmacies in Serbia. Eur J Gen Pract. 2018 Jan;24(1):19-25. Published online: 22 Nov 2017</w:t>
      </w:r>
    </w:p>
    <w:p w:rsidR="00F52BF8" w:rsidRPr="00F52BF8" w:rsidRDefault="00F52BF8" w:rsidP="00F52BF8">
      <w:pPr>
        <w:jc w:val="both"/>
        <w:rPr>
          <w:rFonts w:ascii="Arial" w:hAnsi="Arial" w:cs="Arial"/>
          <w:sz w:val="20"/>
          <w:szCs w:val="20"/>
          <w:lang w:val="sr-Latn-CS"/>
        </w:rPr>
      </w:pPr>
      <w:r w:rsidRPr="00F52BF8">
        <w:rPr>
          <w:rFonts w:ascii="Arial" w:hAnsi="Arial" w:cs="Arial"/>
          <w:sz w:val="20"/>
          <w:szCs w:val="20"/>
          <w:lang w:val="sr-Latn-RS"/>
        </w:rPr>
        <w:t xml:space="preserve">9. </w:t>
      </w:r>
      <w:r w:rsidRPr="00F52BF8">
        <w:rPr>
          <w:rFonts w:ascii="Arial" w:hAnsi="Arial" w:cs="Arial"/>
          <w:sz w:val="20"/>
          <w:szCs w:val="20"/>
          <w:lang w:val="sr-Latn-CS"/>
        </w:rPr>
        <w:t xml:space="preserve">Golubovic B, Prostran M, Miljkovic B, </w:t>
      </w:r>
      <w:r w:rsidRPr="00F52BF8">
        <w:rPr>
          <w:rFonts w:ascii="Arial" w:hAnsi="Arial" w:cs="Arial"/>
          <w:bCs/>
          <w:sz w:val="20"/>
          <w:szCs w:val="20"/>
          <w:lang w:val="sr-Latn-CS"/>
        </w:rPr>
        <w:t>Vucicevic K</w:t>
      </w:r>
      <w:r w:rsidRPr="00F52BF8">
        <w:rPr>
          <w:rFonts w:ascii="Arial" w:hAnsi="Arial" w:cs="Arial"/>
          <w:sz w:val="20"/>
          <w:szCs w:val="20"/>
          <w:lang w:val="sr-Latn-CS"/>
        </w:rPr>
        <w:t xml:space="preserve">, Radivojevic D, Grabnar I. Population pharmacokinetic approach of immunosuppressive therapy in kidney transplant patients. Curr Med Chem. 2016;23(19):1998-2011. </w:t>
      </w:r>
    </w:p>
    <w:p w:rsidR="00F52BF8" w:rsidRPr="00F52BF8" w:rsidRDefault="00F52BF8" w:rsidP="00F52BF8">
      <w:pPr>
        <w:jc w:val="both"/>
        <w:rPr>
          <w:rFonts w:ascii="Arial" w:hAnsi="Arial" w:cs="Arial"/>
          <w:sz w:val="20"/>
          <w:szCs w:val="20"/>
          <w:lang w:val="sr-Latn-CS"/>
        </w:rPr>
      </w:pPr>
      <w:r w:rsidRPr="00F52BF8">
        <w:rPr>
          <w:rFonts w:ascii="Arial" w:hAnsi="Arial" w:cs="Arial"/>
          <w:sz w:val="20"/>
          <w:szCs w:val="20"/>
          <w:lang w:val="sr-Latn-CS"/>
        </w:rPr>
        <w:t>10.  Vučićević K, Jovanović M, Golubović B, Kovačević SV, Miljković B, Martinović Ž, Prostran M. Nonlinear mixed effects modelling approach in investigating phenobarbital pharmacokinetic interactions in epileptic patients. Eur J Clin Pharmacol. 2015 Feb;71(2):183-90.</w:t>
      </w:r>
    </w:p>
    <w:p w:rsidR="00F52BF8" w:rsidRPr="00F52BF8" w:rsidRDefault="00F52BF8" w:rsidP="00F52BF8">
      <w:pPr>
        <w:rPr>
          <w:rFonts w:ascii="Arial" w:hAnsi="Arial" w:cs="Arial"/>
          <w:sz w:val="20"/>
          <w:szCs w:val="20"/>
          <w:lang w:val="sr-Latn-CS"/>
        </w:rPr>
      </w:pPr>
    </w:p>
    <w:p w:rsidR="00F52BF8" w:rsidRPr="00F52BF8" w:rsidRDefault="00F52BF8" w:rsidP="00F52BF8">
      <w:pPr>
        <w:rPr>
          <w:rFonts w:ascii="Arial" w:hAnsi="Arial" w:cs="Arial"/>
          <w:sz w:val="20"/>
          <w:szCs w:val="20"/>
          <w:lang w:val="sr-Latn-CS"/>
        </w:rPr>
      </w:pPr>
    </w:p>
    <w:p w:rsidR="00F52BF8" w:rsidRPr="00F52BF8" w:rsidRDefault="00F52BF8" w:rsidP="00F52BF8">
      <w:pPr>
        <w:jc w:val="both"/>
        <w:rPr>
          <w:rFonts w:ascii="Arial" w:hAnsi="Arial" w:cs="Arial"/>
          <w:sz w:val="20"/>
          <w:szCs w:val="20"/>
          <w:lang w:val="en"/>
        </w:rPr>
      </w:pPr>
    </w:p>
    <w:p w:rsidR="00643EBA" w:rsidRPr="00F52BF8" w:rsidRDefault="00643EBA" w:rsidP="00F52BF8">
      <w:pPr>
        <w:jc w:val="both"/>
        <w:rPr>
          <w:rFonts w:ascii="Arial" w:hAnsi="Arial" w:cs="Arial"/>
          <w:sz w:val="20"/>
          <w:szCs w:val="20"/>
        </w:rPr>
      </w:pPr>
    </w:p>
    <w:sectPr w:rsidR="00643EBA" w:rsidRPr="00F52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F8"/>
    <w:rsid w:val="00643EBA"/>
    <w:rsid w:val="00BE3C8E"/>
    <w:rsid w:val="00F5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1810"/>
  <w15:chartTrackingRefBased/>
  <w15:docId w15:val="{50CEBADD-AF4C-4655-ABF6-2CE0217E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BF8"/>
    <w:pPr>
      <w:spacing w:after="200" w:line="276" w:lineRule="auto"/>
    </w:pPr>
  </w:style>
  <w:style w:type="paragraph" w:styleId="Heading2">
    <w:name w:val="heading 2"/>
    <w:basedOn w:val="Normal"/>
    <w:next w:val="Normal"/>
    <w:link w:val="Heading2Char"/>
    <w:uiPriority w:val="9"/>
    <w:unhideWhenUsed/>
    <w:qFormat/>
    <w:rsid w:val="00F52B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BF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3</cp:revision>
  <dcterms:created xsi:type="dcterms:W3CDTF">2018-12-15T16:08:00Z</dcterms:created>
  <dcterms:modified xsi:type="dcterms:W3CDTF">2018-12-21T09:53:00Z</dcterms:modified>
</cp:coreProperties>
</file>